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  <w:t xml:space="preserve">Procurements at NEECA are conducted strictly in accordance with PPRA rules and procedures. In summary, the procurement process includes: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Identification of requirements and preparation of bidding documents.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Advertisement/solicitation of bids in accordance with PPRA rules.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Technical and financial evaluation of received bids.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Award of contracts to the most responsive and eligible bidder, ensuring transparency and competitiveness.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70"/>
        <w:gridCol w:w="1905"/>
        <w:gridCol w:w="1785"/>
        <w:gridCol w:w="1725"/>
        <w:gridCol w:w="1695"/>
        <w:tblGridChange w:id="0">
          <w:tblGrid>
            <w:gridCol w:w="1770"/>
            <w:gridCol w:w="1905"/>
            <w:gridCol w:w="1785"/>
            <w:gridCol w:w="1725"/>
            <w:gridCol w:w="169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Purpose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Duration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Range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Janitorial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ensure the provision of cleaning services at the NEECA building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571,550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(per month)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Transport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ensure timely and efficient provision of travel services for officials during official visits.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 visit basis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(As per km)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Security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 ensure the provision of effective and uninterrupted security services at the NEECA building.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Quotation based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189,750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(per month)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